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Deliverables will transfer to the Replacement Supplier and/or the Buyer;</w:t>
      </w:r>
    </w:p>
    <w:p w:rsidR="00000000" w:rsidDel="00000000" w:rsidP="00000000" w:rsidRDefault="00000000" w:rsidRPr="00000000" w14:paraId="0000003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proposals for the disposal of any redundant Deliverables and materials;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and update the Exit Plan (and risk management plan) no less frequently than: </w:t>
      </w:r>
    </w:p>
    <w:p w:rsidR="00000000" w:rsidDel="00000000" w:rsidP="00000000" w:rsidRDefault="00000000" w:rsidRPr="00000000" w14:paraId="0000004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Termination Assistance required; and</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twenty (20) Working Days' written notice upon the Supplier.</w:t>
      </w:r>
    </w:p>
    <w:p w:rsidR="00000000" w:rsidDel="00000000" w:rsidP="00000000" w:rsidRDefault="00000000" w:rsidRPr="00000000" w14:paraId="0000005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Buyer's request and on reasonable notice, deliver up-to-date Registers to the Buyer;</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vacate any Buyer Premises;</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bookmarkStart w:colFirst="0" w:colLast="0" w:name="bookmark=id.49x2ik5" w:id="29"/>
    <w:bookmarkEnd w:id="29"/>
    <w:p w:rsidR="00000000" w:rsidDel="00000000" w:rsidP="00000000" w:rsidRDefault="00000000" w:rsidRPr="00000000" w14:paraId="0000006D">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936" w:right="0" w:hanging="349.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assignments from the Supplier or join with the Supplier in procuring a novation of each Transferring Contract; and</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365 to reach a daily rate;</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w:t>
    </w:r>
    <w:r w:rsidDel="00000000" w:rsidR="00000000" w:rsidRPr="00000000">
      <w:rPr>
        <w:rFonts w:ascii="Arial" w:cs="Arial" w:eastAsia="Arial" w:hAnsi="Arial"/>
        <w:sz w:val="20"/>
        <w:szCs w:val="20"/>
        <w:rtl w:val="0"/>
      </w:rPr>
      <w:t xml:space="preserve">269</w:t>
    </w: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39"/>
    <w:bookmarkEnd w:id="3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rxLOsaE5G6IJM55Hb+BCosPqpg==">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2020-09-09T08:50:00Z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